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269</w:t>
      </w:r>
    </w:p>
    <w:p>
      <w:r>
        <w:t>Bundesgericht (BGE), 1999-07-16, FR</w:t>
      </w:r>
    </w:p>
    <w:p>
      <w:r>
        <w:rPr>
          <w:b/>
        </w:rPr>
        <w:t xml:space="preserve">Quelle: </w:t>
      </w:r>
      <w:r>
        <w:t>https://mcp.opencaselaw.ch/entscheid/bge_126 IV 269</w:t>
      </w:r>
    </w:p>
    <w:p>
      <w:r>
        <w:t>FR: ATF 126 IV 269</w:t>
      </w:r>
    </w:p>
    <w:p>
      <w:r>
        <w:t>IT: DTF 126 IV 269</w:t>
      </w:r>
    </w:p>
    <w:p>
      <w:pPr>
        <w:pStyle w:val="Heading2"/>
      </w:pPr>
      <w:r>
        <w:t>Regeste</w:t>
      </w:r>
    </w:p>
    <w:p>
      <w:r>
        <w:t>Regeste Art. 99 Ziff. 2 SVG. Wer nach Übernahme eines Motorfahrzeugs von einem anderen Halter nicht fristgemäss einen neuen Fahrzeugausweis einholt, verstösst gegen Art. 99 Ziff. 2 SVG, der ausdrücklich diesen Fall regelt, und nicht gegen Art. 97 Ziff. 1 Abs. 1 SVG, der den Missbrauch von Ausweisen und Schildern ahndet (E. 2).</w:t>
      </w:r>
    </w:p>
    <w:p>
      <w:pPr>
        <w:pStyle w:val="Heading2"/>
      </w:pPr>
      <w:r>
        <w:t>Erwägungen</w:t>
      </w:r>
    </w:p>
    <w:p>
      <w:r>
        <w:rPr>
          <w:b/>
        </w:rPr>
        <w:t>E. 1</w:t>
      </w:r>
    </w:p>
    <w:p>
      <w:r>
        <w:t>(Recevabilité).</w:t>
      </w:r>
    </w:p>
    <w:p>
      <w:r>
        <w:rPr>
          <w:b/>
        </w:rPr>
        <w:t>E. 2</w:t>
      </w:r>
    </w:p>
    <w:p>
      <w:r>
        <w:t>Selon le recourant, sa condamnation en vertu de l'art. 97 ch. 1 al. 1 LCR (RS 741.01) viole le droit fédéral car c'est l'art. 99 ch. 2 LCR qui devait trouver application. BGE 126 IV 269 S. 271 Aux termes de l'art. 97 ch. 1 al. 1 LCR, celui qui aura fait usage de permis ou de plaques de contrôle qui n'étaient destinés ni à lui-même ni à son véhicule sera puni de l'emprisonnement ou de l'amende. Comme le texte italien, selon lequel "chiunque usa licenze o targhe di controllo che non sono state rilasciate per lui nè per il suo veicolo ...", la version française du texte légal indique clairement le caractère cumulatif de la double condition, à savoir que tant le détenteur que le véhicule ne doivent pas être ceux auxquels étaient destinés le permis ou les plaques dont il a été fait usage. La version allemande de l'art. 97 ch. 1 al. 1 LCR, qui prévoit que "wer Ausweise oder Kontrollschilder verwendet, die nicht für ihn oder sein Fahrzeug bestimmt sind ...", donne plutôt à penser que ces conditions seraient alternatives. On ne saurait donc conclure d'emblée que cette disposition n'est pas applicable en l'espèce pour le seul motif que si le permis et les plaques dont le recourant s'est servi n'avaient pas été établis pour lui-même ils l'avaient en revanche été pour le véhicule qu'il a racheté à Y. Néanmoins, l'art. 97 ch. 1 al. 1 LCR ne vise pas le cas où le nouveau détenteur d'un véhicule automobile omet de faire établir un nouveau permis (SCHULTZ, Die Strafbestimmungen des Bundesgesetzes über den Strassenverkehr, Berne 1964, p. 293). Ce cas est visé expressément par l'art. 99 ch. 2 LCR, selon lequel est passible d'une amende de 100 fr. au maximum celui qui, après avoir repris un véhicule d'un autre détenteur, ne sollicite pas à temps un nouveau permis. Cette disposition constitue la sanction de la violation de l'obligation, imposée par l'art. 11 al. 3 LCR, de solliciter un nouveau permis de circulation notamment lorsqu'un véhicule change de détenteur (BUSSY/RUSCONI, Code suisse de la circulation routière, commentaire, 3e éd., Lausanne 1996, n. 2.1 ad art. 11 LCR; GIGER, Strassenverkehrsgesetz, 5e éd., Zurich 1996, n. 2 ad art. 99 LCR). Or, cette situation est précisément celle du cas d'espèce, de sorte que c'est bien l'art. 99 ch. 2 LCR qui devait être appliqué. Le pourvoi doit donc être admis, l'arrêt attaqué annulé et la cause renvoyée à l'autorité cantonale afin qu'elle statue à nouveau.</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